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AE" w:rsidRPr="00DF222A" w:rsidRDefault="005A33AE" w:rsidP="005A33AE">
      <w:pPr>
        <w:widowControl w:val="0"/>
        <w:jc w:val="right"/>
        <w:rPr>
          <w:rFonts w:ascii="Arial" w:hAnsi="Arial" w:cs="Arial"/>
          <w:b/>
          <w:bCs/>
          <w:spacing w:val="-1"/>
        </w:rPr>
      </w:pPr>
      <w:r w:rsidRPr="00DF222A">
        <w:rPr>
          <w:rFonts w:ascii="Arial" w:hAnsi="Arial" w:cs="Arial"/>
          <w:b/>
          <w:bCs/>
          <w:spacing w:val="-1"/>
        </w:rPr>
        <w:t>Annexure-II</w:t>
      </w:r>
    </w:p>
    <w:p w:rsidR="0006480C" w:rsidRPr="00DF222A" w:rsidRDefault="0040610F" w:rsidP="000F5A55">
      <w:pPr>
        <w:widowControl w:val="0"/>
        <w:jc w:val="both"/>
        <w:rPr>
          <w:rFonts w:ascii="Arial" w:hAnsi="Arial" w:cs="Arial"/>
          <w:bCs/>
          <w:spacing w:val="-1"/>
        </w:rPr>
      </w:pPr>
      <w:r w:rsidRPr="00DF222A">
        <w:rPr>
          <w:rFonts w:ascii="Arial" w:hAnsi="Arial" w:cs="Arial"/>
          <w:b/>
          <w:bCs/>
          <w:spacing w:val="-1"/>
        </w:rPr>
        <w:t xml:space="preserve">Amendment No. </w:t>
      </w:r>
      <w:r w:rsidR="00526FCE" w:rsidRPr="00DF222A">
        <w:rPr>
          <w:rFonts w:ascii="Arial" w:hAnsi="Arial" w:cs="Arial"/>
          <w:b/>
          <w:bCs/>
          <w:spacing w:val="-1"/>
        </w:rPr>
        <w:t>17:</w:t>
      </w:r>
      <w:r w:rsidR="000F5A55" w:rsidRPr="00DF222A">
        <w:rPr>
          <w:rFonts w:ascii="Arial" w:hAnsi="Arial" w:cs="Arial"/>
          <w:b/>
          <w:bCs/>
          <w:spacing w:val="-1"/>
        </w:rPr>
        <w:t xml:space="preserve"> </w:t>
      </w:r>
      <w:r w:rsidR="0006480C" w:rsidRPr="00DF222A">
        <w:rPr>
          <w:rFonts w:ascii="Arial" w:hAnsi="Arial" w:cs="Arial"/>
          <w:b/>
          <w:bCs/>
          <w:spacing w:val="-1"/>
        </w:rPr>
        <w:t xml:space="preserve"> </w:t>
      </w:r>
      <w:r w:rsidR="0006480C" w:rsidRPr="00DF222A">
        <w:rPr>
          <w:rFonts w:ascii="Arial" w:hAnsi="Arial" w:cs="Arial"/>
          <w:bCs/>
          <w:spacing w:val="-1"/>
        </w:rPr>
        <w:t>A</w:t>
      </w:r>
      <w:r w:rsidR="000F5A55" w:rsidRPr="00DF222A">
        <w:rPr>
          <w:rFonts w:ascii="Arial" w:hAnsi="Arial" w:cs="Arial"/>
          <w:bCs/>
          <w:spacing w:val="-1"/>
        </w:rPr>
        <w:t xml:space="preserve"> </w:t>
      </w:r>
      <w:r w:rsidR="0006480C" w:rsidRPr="00DF222A">
        <w:rPr>
          <w:rFonts w:ascii="Arial" w:hAnsi="Arial" w:cs="Arial"/>
          <w:bCs/>
          <w:spacing w:val="-1"/>
        </w:rPr>
        <w:t xml:space="preserve">separate Clause regarding </w:t>
      </w:r>
      <w:r w:rsidR="0006480C" w:rsidRPr="00DF222A">
        <w:rPr>
          <w:rFonts w:ascii="Arial" w:hAnsi="Arial" w:cs="Arial"/>
          <w:b/>
          <w:bCs/>
        </w:rPr>
        <w:t>Payment terms for turn key projects</w:t>
      </w:r>
      <w:r w:rsidR="0006480C" w:rsidRPr="00DF222A">
        <w:rPr>
          <w:rFonts w:ascii="Arial" w:hAnsi="Arial" w:cs="Arial"/>
          <w:bCs/>
        </w:rPr>
        <w:t xml:space="preserve"> as an interim measure for six months </w:t>
      </w:r>
      <w:r w:rsidR="0006480C" w:rsidRPr="00DF222A">
        <w:rPr>
          <w:rFonts w:ascii="Arial" w:hAnsi="Arial" w:cs="Arial"/>
          <w:bCs/>
        </w:rPr>
        <w:t>(</w:t>
      </w:r>
      <w:r w:rsidR="0006480C" w:rsidRPr="00DF222A">
        <w:rPr>
          <w:rFonts w:ascii="Arial" w:hAnsi="Arial" w:cs="Arial"/>
          <w:bCs/>
        </w:rPr>
        <w:t>to be reviewed in April-May 2018</w:t>
      </w:r>
      <w:r w:rsidR="0006480C" w:rsidRPr="00DF222A">
        <w:rPr>
          <w:rFonts w:ascii="Arial" w:hAnsi="Arial" w:cs="Arial"/>
          <w:bCs/>
        </w:rPr>
        <w:t>) has been added as clause 11B of Section-III under Payment Terms , as per below :</w:t>
      </w:r>
    </w:p>
    <w:p w:rsidR="0040610F" w:rsidRPr="00DF222A" w:rsidRDefault="000F5A55" w:rsidP="000F5A55">
      <w:pPr>
        <w:widowControl w:val="0"/>
        <w:jc w:val="both"/>
        <w:rPr>
          <w:rFonts w:ascii="Arial" w:hAnsi="Arial" w:cs="Arial"/>
          <w:b/>
          <w:bCs/>
          <w:spacing w:val="-1"/>
        </w:rPr>
      </w:pPr>
      <w:r w:rsidRPr="00DF222A">
        <w:rPr>
          <w:rFonts w:ascii="Arial" w:hAnsi="Arial" w:cs="Arial"/>
          <w:b/>
          <w:bCs/>
          <w:spacing w:val="-1"/>
        </w:rPr>
        <w:t xml:space="preserve">Clause 11 of Section-III : </w:t>
      </w:r>
      <w:r w:rsidR="00EB02E8" w:rsidRPr="00DF222A">
        <w:rPr>
          <w:rFonts w:ascii="Arial" w:hAnsi="Arial" w:cs="Arial"/>
          <w:b/>
          <w:bCs/>
          <w:spacing w:val="-1"/>
        </w:rPr>
        <w:t xml:space="preserve">Payment Terms </w:t>
      </w:r>
    </w:p>
    <w:p w:rsidR="0017262A" w:rsidRPr="00DF222A" w:rsidRDefault="00EB02E8" w:rsidP="00EB02E8">
      <w:pPr>
        <w:pStyle w:val="Heading2"/>
        <w:keepNext w:val="0"/>
        <w:widowControl w:val="0"/>
        <w:tabs>
          <w:tab w:val="left" w:pos="840"/>
        </w:tabs>
        <w:rPr>
          <w:rFonts w:ascii="Arial" w:hAnsi="Arial" w:cs="Arial"/>
          <w:b/>
          <w:bCs/>
          <w:sz w:val="22"/>
          <w:szCs w:val="22"/>
        </w:rPr>
      </w:pPr>
      <w:r w:rsidRPr="00DF222A">
        <w:rPr>
          <w:rFonts w:ascii="Arial" w:hAnsi="Arial" w:cs="Arial"/>
          <w:b/>
          <w:bCs/>
          <w:spacing w:val="-1"/>
          <w:sz w:val="22"/>
          <w:szCs w:val="22"/>
        </w:rPr>
        <w:t>B.</w:t>
      </w:r>
      <w:r w:rsidRPr="00DF222A">
        <w:rPr>
          <w:rFonts w:ascii="Arial" w:hAnsi="Arial" w:cs="Arial"/>
          <w:b/>
          <w:bCs/>
          <w:spacing w:val="-1"/>
          <w:sz w:val="22"/>
          <w:szCs w:val="22"/>
        </w:rPr>
        <w:tab/>
        <w:t>F</w:t>
      </w:r>
      <w:r w:rsidR="00F86281" w:rsidRPr="00DF222A">
        <w:rPr>
          <w:rFonts w:ascii="Arial" w:hAnsi="Arial" w:cs="Arial"/>
          <w:b/>
          <w:bCs/>
          <w:spacing w:val="-2"/>
          <w:sz w:val="22"/>
          <w:szCs w:val="22"/>
        </w:rPr>
        <w:t xml:space="preserve">or Turn-Key </w:t>
      </w:r>
      <w:r w:rsidR="005A33AE" w:rsidRPr="00DF222A">
        <w:rPr>
          <w:rFonts w:ascii="Arial" w:hAnsi="Arial" w:cs="Arial"/>
          <w:b/>
          <w:bCs/>
          <w:spacing w:val="-2"/>
          <w:sz w:val="22"/>
          <w:szCs w:val="22"/>
        </w:rPr>
        <w:t>Projects:</w:t>
      </w:r>
    </w:p>
    <w:p w:rsidR="0017262A" w:rsidRPr="00DF222A" w:rsidRDefault="0017262A" w:rsidP="0017262A">
      <w:pPr>
        <w:pStyle w:val="BodyText"/>
        <w:spacing w:line="240" w:lineRule="auto"/>
        <w:ind w:left="119" w:firstLine="720"/>
        <w:rPr>
          <w:rFonts w:ascii="Arial" w:eastAsia="Arial" w:hAnsi="Arial" w:cs="Arial"/>
          <w:b/>
          <w:bCs/>
          <w:sz w:val="22"/>
          <w:szCs w:val="22"/>
          <w:lang w:val="en-US"/>
        </w:rPr>
      </w:pPr>
    </w:p>
    <w:p w:rsidR="0017262A" w:rsidRPr="00DF222A" w:rsidRDefault="0017262A" w:rsidP="0017262A">
      <w:pPr>
        <w:pStyle w:val="BodyText"/>
        <w:spacing w:line="240" w:lineRule="auto"/>
        <w:ind w:left="119" w:firstLine="720"/>
        <w:rPr>
          <w:rFonts w:ascii="Arial" w:hAnsi="Arial" w:cs="Arial"/>
          <w:sz w:val="22"/>
          <w:szCs w:val="22"/>
        </w:rPr>
      </w:pPr>
      <w:r w:rsidRPr="00DF222A">
        <w:rPr>
          <w:rFonts w:ascii="Arial" w:hAnsi="Arial" w:cs="Arial"/>
          <w:spacing w:val="-1"/>
          <w:sz w:val="22"/>
          <w:szCs w:val="22"/>
        </w:rPr>
        <w:t>Payment</w:t>
      </w:r>
      <w:r w:rsidR="001062AE" w:rsidRPr="00DF222A">
        <w:rPr>
          <w:rFonts w:ascii="Arial" w:hAnsi="Arial" w:cs="Arial"/>
          <w:spacing w:val="-1"/>
          <w:sz w:val="22"/>
          <w:szCs w:val="22"/>
        </w:rPr>
        <w:t xml:space="preserve"> </w:t>
      </w:r>
      <w:r w:rsidRPr="00DF222A">
        <w:rPr>
          <w:rFonts w:ascii="Arial" w:hAnsi="Arial" w:cs="Arial"/>
          <w:spacing w:val="-1"/>
          <w:sz w:val="22"/>
          <w:szCs w:val="22"/>
        </w:rPr>
        <w:t>shall</w:t>
      </w:r>
      <w:r w:rsidR="001062AE" w:rsidRPr="00DF222A">
        <w:rPr>
          <w:rFonts w:ascii="Arial" w:hAnsi="Arial" w:cs="Arial"/>
          <w:spacing w:val="-1"/>
          <w:sz w:val="22"/>
          <w:szCs w:val="22"/>
        </w:rPr>
        <w:t xml:space="preserve"> </w:t>
      </w:r>
      <w:r w:rsidRPr="00DF222A">
        <w:rPr>
          <w:rFonts w:ascii="Arial" w:hAnsi="Arial" w:cs="Arial"/>
          <w:spacing w:val="-1"/>
          <w:sz w:val="22"/>
          <w:szCs w:val="22"/>
        </w:rPr>
        <w:t>be</w:t>
      </w:r>
      <w:r w:rsidR="001062AE" w:rsidRPr="00DF222A">
        <w:rPr>
          <w:rFonts w:ascii="Arial" w:hAnsi="Arial" w:cs="Arial"/>
          <w:spacing w:val="-1"/>
          <w:sz w:val="22"/>
          <w:szCs w:val="22"/>
        </w:rPr>
        <w:t xml:space="preserve"> </w:t>
      </w:r>
      <w:r w:rsidRPr="00DF222A">
        <w:rPr>
          <w:rFonts w:ascii="Arial" w:hAnsi="Arial" w:cs="Arial"/>
          <w:spacing w:val="-1"/>
          <w:sz w:val="22"/>
          <w:szCs w:val="22"/>
        </w:rPr>
        <w:t>made</w:t>
      </w:r>
      <w:r w:rsidR="001062AE" w:rsidRPr="00DF222A">
        <w:rPr>
          <w:rFonts w:ascii="Arial" w:hAnsi="Arial" w:cs="Arial"/>
          <w:spacing w:val="-1"/>
          <w:sz w:val="22"/>
          <w:szCs w:val="22"/>
        </w:rPr>
        <w:t xml:space="preserve"> in Indian </w:t>
      </w:r>
      <w:r w:rsidRPr="00DF222A">
        <w:rPr>
          <w:rFonts w:ascii="Arial" w:hAnsi="Arial" w:cs="Arial"/>
          <w:spacing w:val="-2"/>
          <w:sz w:val="22"/>
          <w:szCs w:val="22"/>
        </w:rPr>
        <w:t>Rupees.</w:t>
      </w:r>
      <w:r w:rsidR="001062AE" w:rsidRPr="00DF222A">
        <w:rPr>
          <w:rFonts w:ascii="Arial" w:hAnsi="Arial" w:cs="Arial"/>
          <w:spacing w:val="-2"/>
          <w:sz w:val="22"/>
          <w:szCs w:val="22"/>
        </w:rPr>
        <w:t xml:space="preserve"> </w:t>
      </w:r>
      <w:r w:rsidRPr="00DF222A">
        <w:rPr>
          <w:rFonts w:ascii="Arial" w:hAnsi="Arial" w:cs="Arial"/>
          <w:spacing w:val="-2"/>
          <w:sz w:val="22"/>
          <w:szCs w:val="22"/>
        </w:rPr>
        <w:t>Payment</w:t>
      </w:r>
      <w:r w:rsidRPr="00DF222A">
        <w:rPr>
          <w:rFonts w:ascii="Arial" w:hAnsi="Arial" w:cs="Arial"/>
          <w:spacing w:val="-1"/>
          <w:sz w:val="22"/>
          <w:szCs w:val="22"/>
        </w:rPr>
        <w:t xml:space="preserve"> Terms</w:t>
      </w:r>
      <w:r w:rsidR="001062AE" w:rsidRPr="00DF222A">
        <w:rPr>
          <w:rFonts w:ascii="Arial" w:hAnsi="Arial" w:cs="Arial"/>
          <w:spacing w:val="-1"/>
          <w:sz w:val="22"/>
          <w:szCs w:val="22"/>
        </w:rPr>
        <w:t xml:space="preserve"> </w:t>
      </w:r>
      <w:r w:rsidRPr="00DF222A">
        <w:rPr>
          <w:rFonts w:ascii="Arial" w:hAnsi="Arial" w:cs="Arial"/>
          <w:spacing w:val="-1"/>
          <w:sz w:val="22"/>
          <w:szCs w:val="22"/>
        </w:rPr>
        <w:t>shall</w:t>
      </w:r>
      <w:r w:rsidR="001062AE" w:rsidRPr="00DF222A">
        <w:rPr>
          <w:rFonts w:ascii="Arial" w:hAnsi="Arial" w:cs="Arial"/>
          <w:spacing w:val="-1"/>
          <w:sz w:val="22"/>
          <w:szCs w:val="22"/>
        </w:rPr>
        <w:t xml:space="preserve"> </w:t>
      </w:r>
      <w:r w:rsidRPr="00DF222A">
        <w:rPr>
          <w:rFonts w:ascii="Arial" w:hAnsi="Arial" w:cs="Arial"/>
          <w:spacing w:val="-1"/>
          <w:sz w:val="22"/>
          <w:szCs w:val="22"/>
        </w:rPr>
        <w:t>be</w:t>
      </w:r>
      <w:r w:rsidR="001062AE" w:rsidRPr="00DF222A">
        <w:rPr>
          <w:rFonts w:ascii="Arial" w:hAnsi="Arial" w:cs="Arial"/>
          <w:spacing w:val="-1"/>
          <w:sz w:val="22"/>
          <w:szCs w:val="22"/>
        </w:rPr>
        <w:t xml:space="preserve"> </w:t>
      </w:r>
      <w:r w:rsidRPr="00DF222A">
        <w:rPr>
          <w:rFonts w:ascii="Arial" w:hAnsi="Arial" w:cs="Arial"/>
          <w:spacing w:val="-2"/>
          <w:sz w:val="22"/>
          <w:szCs w:val="22"/>
        </w:rPr>
        <w:t xml:space="preserve">as </w:t>
      </w:r>
      <w:r w:rsidRPr="00DF222A">
        <w:rPr>
          <w:rFonts w:ascii="Arial" w:hAnsi="Arial" w:cs="Arial"/>
          <w:spacing w:val="-1"/>
          <w:sz w:val="22"/>
          <w:szCs w:val="22"/>
        </w:rPr>
        <w:t>follows:</w:t>
      </w:r>
    </w:p>
    <w:p w:rsidR="0017262A" w:rsidRPr="00DF222A" w:rsidRDefault="0017262A" w:rsidP="005D3C56">
      <w:pPr>
        <w:spacing w:after="0" w:line="240" w:lineRule="auto"/>
        <w:ind w:left="1166" w:hanging="1080"/>
        <w:jc w:val="both"/>
        <w:rPr>
          <w:rFonts w:ascii="Arial" w:hAnsi="Arial" w:cs="Arial"/>
          <w:b/>
          <w:bCs/>
        </w:rPr>
      </w:pPr>
    </w:p>
    <w:p w:rsidR="0017262A" w:rsidRPr="00DF222A" w:rsidRDefault="0017262A" w:rsidP="0017262A">
      <w:pPr>
        <w:ind w:left="1170" w:hanging="1080"/>
        <w:jc w:val="both"/>
        <w:rPr>
          <w:rFonts w:ascii="Arial" w:hAnsi="Arial" w:cs="Arial"/>
        </w:rPr>
      </w:pPr>
      <w:r w:rsidRPr="00DF222A">
        <w:rPr>
          <w:rFonts w:ascii="Arial" w:hAnsi="Arial" w:cs="Arial"/>
          <w:b/>
          <w:bCs/>
        </w:rPr>
        <w:t>11.1  (a)</w:t>
      </w:r>
      <w:r w:rsidRPr="00DF222A">
        <w:rPr>
          <w:rFonts w:ascii="Arial" w:hAnsi="Arial" w:cs="Arial"/>
        </w:rPr>
        <w:tab/>
        <w:t>The vendor shall issue invoice for supplies on actual basis as per Delivery Schedule mentioned in the APO/PO.</w:t>
      </w:r>
    </w:p>
    <w:p w:rsidR="0017262A" w:rsidRPr="00DF222A" w:rsidRDefault="0017262A" w:rsidP="0017262A">
      <w:pPr>
        <w:ind w:left="1170" w:hanging="360"/>
        <w:jc w:val="both"/>
        <w:rPr>
          <w:rFonts w:ascii="Arial" w:hAnsi="Arial" w:cs="Arial"/>
        </w:rPr>
      </w:pPr>
      <w:r w:rsidRPr="00DF222A">
        <w:rPr>
          <w:rFonts w:ascii="Arial" w:hAnsi="Arial" w:cs="Arial"/>
          <w:b/>
          <w:bCs/>
        </w:rPr>
        <w:t>(b)</w:t>
      </w:r>
      <w:r w:rsidRPr="00DF222A">
        <w:rPr>
          <w:rFonts w:ascii="Arial" w:hAnsi="Arial" w:cs="Arial"/>
        </w:rPr>
        <w:tab/>
        <w:t xml:space="preserve">The </w:t>
      </w:r>
      <w:r w:rsidRPr="00DF222A">
        <w:rPr>
          <w:rFonts w:ascii="Arial" w:hAnsi="Arial" w:cs="Arial"/>
          <w:bCs/>
        </w:rPr>
        <w:t xml:space="preserve">First </w:t>
      </w:r>
      <w:r w:rsidRPr="00DF222A">
        <w:rPr>
          <w:rFonts w:ascii="Arial" w:hAnsi="Arial" w:cs="Arial"/>
        </w:rPr>
        <w:t>milestone payment for each invoice along</w:t>
      </w:r>
      <w:r w:rsidR="001062AE" w:rsidRPr="00DF222A">
        <w:rPr>
          <w:rFonts w:ascii="Arial" w:hAnsi="Arial" w:cs="Arial"/>
        </w:rPr>
        <w:t xml:space="preserve"> </w:t>
      </w:r>
      <w:r w:rsidRPr="00DF222A">
        <w:rPr>
          <w:rFonts w:ascii="Arial" w:hAnsi="Arial" w:cs="Arial"/>
        </w:rPr>
        <w:t>with 100% GST amount on invoice value shall be released through RTGS and the balance payment (excl</w:t>
      </w:r>
      <w:bookmarkStart w:id="0" w:name="_GoBack"/>
      <w:bookmarkEnd w:id="0"/>
      <w:r w:rsidRPr="00DF222A">
        <w:rPr>
          <w:rFonts w:ascii="Arial" w:hAnsi="Arial" w:cs="Arial"/>
        </w:rPr>
        <w:t>uding of GST) will be withheld and converted into interest free Refundable Security Deposit to ensure satisfactory performance of contract as per P.O. terms and conditions including timely delivery of goods and services and commissioning and installation.</w:t>
      </w:r>
    </w:p>
    <w:p w:rsidR="0017262A" w:rsidRPr="00DF222A" w:rsidRDefault="0017262A" w:rsidP="0017262A">
      <w:pPr>
        <w:pStyle w:val="ListParagraph"/>
        <w:numPr>
          <w:ilvl w:val="0"/>
          <w:numId w:val="2"/>
        </w:numPr>
        <w:ind w:left="1170" w:hanging="360"/>
        <w:jc w:val="both"/>
        <w:rPr>
          <w:rFonts w:ascii="Arial" w:hAnsi="Arial" w:cs="Arial"/>
          <w:sz w:val="22"/>
          <w:szCs w:val="22"/>
        </w:rPr>
      </w:pPr>
      <w:r w:rsidRPr="00DF222A">
        <w:rPr>
          <w:rFonts w:ascii="Arial" w:hAnsi="Arial" w:cs="Arial"/>
          <w:sz w:val="22"/>
          <w:szCs w:val="22"/>
        </w:rPr>
        <w:t>Payment due on subsequent stages shall be released by way of releasing the due amount from Refundable Security Deposit on attaining the various milestones mentioned in clause 11.2(b) &amp; (c) below subject to satisfactory performance of contract as per P.O. terms and conditions.</w:t>
      </w:r>
    </w:p>
    <w:p w:rsidR="0017262A" w:rsidRPr="00DF222A" w:rsidRDefault="0017262A" w:rsidP="0017262A">
      <w:pPr>
        <w:pStyle w:val="ListParagraph"/>
        <w:ind w:left="1170"/>
        <w:jc w:val="both"/>
        <w:rPr>
          <w:rFonts w:ascii="Arial" w:hAnsi="Arial" w:cs="Arial"/>
          <w:sz w:val="22"/>
          <w:szCs w:val="22"/>
        </w:rPr>
      </w:pPr>
    </w:p>
    <w:p w:rsidR="0017262A" w:rsidRPr="00DF222A" w:rsidRDefault="0017262A" w:rsidP="0017262A">
      <w:pPr>
        <w:pStyle w:val="ListParagraph"/>
        <w:numPr>
          <w:ilvl w:val="0"/>
          <w:numId w:val="2"/>
        </w:numPr>
        <w:ind w:left="1170" w:hanging="360"/>
        <w:jc w:val="both"/>
        <w:rPr>
          <w:rFonts w:ascii="Arial" w:hAnsi="Arial" w:cs="Arial"/>
          <w:sz w:val="22"/>
          <w:szCs w:val="22"/>
        </w:rPr>
      </w:pPr>
      <w:r w:rsidRPr="00DF222A">
        <w:rPr>
          <w:rFonts w:ascii="Arial" w:hAnsi="Arial" w:cs="Arial"/>
          <w:sz w:val="22"/>
          <w:szCs w:val="22"/>
        </w:rPr>
        <w:t>Any claim of MTNL arising out of any penalty, LD or any other claim of MTNL arising out of the contract shall be recovered from the First mile stone payment or while refund of Security Deposit in subsequent stages.</w:t>
      </w:r>
    </w:p>
    <w:p w:rsidR="0017262A" w:rsidRPr="00DF222A" w:rsidRDefault="0017262A" w:rsidP="0017262A">
      <w:pPr>
        <w:pStyle w:val="ListParagraph"/>
        <w:ind w:left="1170"/>
        <w:jc w:val="both"/>
        <w:rPr>
          <w:rFonts w:ascii="Arial" w:hAnsi="Arial" w:cs="Arial"/>
          <w:sz w:val="22"/>
          <w:szCs w:val="22"/>
        </w:rPr>
      </w:pPr>
    </w:p>
    <w:p w:rsidR="0017262A" w:rsidRPr="00DF222A" w:rsidRDefault="0017262A" w:rsidP="0017262A">
      <w:pPr>
        <w:ind w:left="1170" w:hanging="1080"/>
        <w:jc w:val="both"/>
        <w:rPr>
          <w:rFonts w:ascii="Arial" w:hAnsi="Arial" w:cs="Arial"/>
        </w:rPr>
      </w:pPr>
      <w:r w:rsidRPr="00DF222A">
        <w:rPr>
          <w:rFonts w:ascii="Arial" w:hAnsi="Arial" w:cs="Arial"/>
          <w:b/>
          <w:bCs/>
        </w:rPr>
        <w:t>11.2  (a)</w:t>
      </w:r>
      <w:r w:rsidRPr="00DF222A">
        <w:rPr>
          <w:rFonts w:ascii="Arial" w:hAnsi="Arial" w:cs="Arial"/>
        </w:rPr>
        <w:tab/>
        <w:t>50% of Equipment cost(along</w:t>
      </w:r>
      <w:r w:rsidR="001E58E7" w:rsidRPr="00DF222A">
        <w:rPr>
          <w:rFonts w:ascii="Arial" w:hAnsi="Arial" w:cs="Arial"/>
        </w:rPr>
        <w:t xml:space="preserve"> </w:t>
      </w:r>
      <w:r w:rsidRPr="00DF222A">
        <w:rPr>
          <w:rFonts w:ascii="Arial" w:hAnsi="Arial" w:cs="Arial"/>
        </w:rPr>
        <w:t>with GST on 100% invoice value) will be paid on supply of ordered MNPGW including all associated accessories required for their successful installation &amp; commissioning including integration in the network.</w:t>
      </w:r>
    </w:p>
    <w:p w:rsidR="0017262A" w:rsidRPr="00DF222A" w:rsidRDefault="0017262A" w:rsidP="0017262A">
      <w:pPr>
        <w:ind w:left="1170" w:hanging="450"/>
        <w:jc w:val="both"/>
        <w:rPr>
          <w:rFonts w:ascii="Arial" w:hAnsi="Arial" w:cs="Arial"/>
        </w:rPr>
      </w:pPr>
      <w:r w:rsidRPr="00DF222A">
        <w:rPr>
          <w:rFonts w:ascii="Arial" w:hAnsi="Arial" w:cs="Arial"/>
          <w:b/>
          <w:bCs/>
        </w:rPr>
        <w:t>(b)</w:t>
      </w:r>
      <w:r w:rsidRPr="00DF222A">
        <w:rPr>
          <w:rFonts w:ascii="Arial" w:hAnsi="Arial" w:cs="Arial"/>
        </w:rPr>
        <w:tab/>
        <w:t>30% of the Equipment Cost</w:t>
      </w:r>
      <w:r w:rsidR="00DF222A" w:rsidRPr="00DF222A">
        <w:rPr>
          <w:rFonts w:ascii="Arial" w:hAnsi="Arial" w:cs="Arial"/>
        </w:rPr>
        <w:t xml:space="preserve"> </w:t>
      </w:r>
      <w:r w:rsidRPr="00DF222A">
        <w:rPr>
          <w:rFonts w:ascii="Arial" w:hAnsi="Arial" w:cs="Arial"/>
        </w:rPr>
        <w:t xml:space="preserve">(excluding GST) and 80% of Services </w:t>
      </w:r>
      <w:proofErr w:type="gramStart"/>
      <w:r w:rsidRPr="00DF222A">
        <w:rPr>
          <w:rFonts w:ascii="Arial" w:hAnsi="Arial" w:cs="Arial"/>
        </w:rPr>
        <w:t>Cost(</w:t>
      </w:r>
      <w:proofErr w:type="gramEnd"/>
      <w:r w:rsidRPr="00DF222A">
        <w:rPr>
          <w:rFonts w:ascii="Arial" w:hAnsi="Arial" w:cs="Arial"/>
        </w:rPr>
        <w:t>along</w:t>
      </w:r>
      <w:r w:rsidR="001E58E7" w:rsidRPr="00DF222A">
        <w:rPr>
          <w:rFonts w:ascii="Arial" w:hAnsi="Arial" w:cs="Arial"/>
        </w:rPr>
        <w:t xml:space="preserve"> </w:t>
      </w:r>
      <w:r w:rsidRPr="00DF222A">
        <w:rPr>
          <w:rFonts w:ascii="Arial" w:hAnsi="Arial" w:cs="Arial"/>
        </w:rPr>
        <w:t>with GST on 100% invoice value) of the ordered MNPGW will be released from security deposit after deducting any penalty, L.D. or other claim of MTNL on successful installation &amp; commissioning of ordered MNPGW along</w:t>
      </w:r>
      <w:r w:rsidR="001E58E7" w:rsidRPr="00DF222A">
        <w:rPr>
          <w:rFonts w:ascii="Arial" w:hAnsi="Arial" w:cs="Arial"/>
        </w:rPr>
        <w:t xml:space="preserve"> </w:t>
      </w:r>
      <w:r w:rsidRPr="00DF222A">
        <w:rPr>
          <w:rFonts w:ascii="Arial" w:hAnsi="Arial" w:cs="Arial"/>
        </w:rPr>
        <w:t>with their integration in the network and successful completion of their AT (without any critical/ major pending points).</w:t>
      </w:r>
    </w:p>
    <w:p w:rsidR="0017262A" w:rsidRPr="00DF222A" w:rsidRDefault="0017262A" w:rsidP="0017262A">
      <w:pPr>
        <w:ind w:left="1170" w:hanging="450"/>
        <w:jc w:val="both"/>
        <w:rPr>
          <w:rFonts w:ascii="Arial" w:hAnsi="Arial" w:cs="Arial"/>
        </w:rPr>
      </w:pPr>
      <w:r w:rsidRPr="00DF222A">
        <w:rPr>
          <w:rFonts w:ascii="Arial" w:hAnsi="Arial" w:cs="Arial"/>
          <w:b/>
          <w:bCs/>
        </w:rPr>
        <w:t>(c)</w:t>
      </w:r>
      <w:r w:rsidRPr="00DF222A">
        <w:rPr>
          <w:rFonts w:ascii="Arial" w:hAnsi="Arial" w:cs="Arial"/>
        </w:rPr>
        <w:tab/>
        <w:t>20% of the Equipment Cost(excluding GST) and 20% of Services Cost(excluding GST) of the ordered MNPGW will be released from security deposit (after deducting any penalty, L.D. or other claim of MTNL) after successful completion of their AT/VT and closure of all pending AT/VT points as per due procedure.</w:t>
      </w:r>
    </w:p>
    <w:p w:rsidR="005D3C56" w:rsidRPr="00DF222A" w:rsidRDefault="00BA7770" w:rsidP="005D3C56">
      <w:pPr>
        <w:ind w:left="1170"/>
        <w:jc w:val="both"/>
        <w:rPr>
          <w:rFonts w:ascii="Arial" w:hAnsi="Arial" w:cs="Arial"/>
        </w:rPr>
      </w:pPr>
      <w:r w:rsidRPr="00DF222A">
        <w:rPr>
          <w:rFonts w:ascii="Arial" w:hAnsi="Arial" w:cs="Arial"/>
          <w:b/>
          <w:bCs/>
        </w:rPr>
        <w:t>Note:</w:t>
      </w:r>
      <w:r w:rsidR="005D3C56" w:rsidRPr="00DF222A">
        <w:rPr>
          <w:rFonts w:ascii="Arial" w:hAnsi="Arial" w:cs="Arial"/>
          <w:b/>
          <w:bCs/>
        </w:rPr>
        <w:t xml:space="preserve"> </w:t>
      </w:r>
      <w:r w:rsidR="005D3C56" w:rsidRPr="00DF222A">
        <w:rPr>
          <w:rFonts w:ascii="Arial" w:hAnsi="Arial" w:cs="Arial"/>
          <w:bCs/>
        </w:rPr>
        <w:t>The actual payment conditions for new products of procurements having installation &amp; AMC services may be decided on case to case basis and incorporated in special condition of the contract.</w:t>
      </w:r>
      <w:r w:rsidR="005D3C56" w:rsidRPr="00DF222A">
        <w:rPr>
          <w:rFonts w:ascii="Arial" w:hAnsi="Arial" w:cs="Arial"/>
          <w:b/>
          <w:bCs/>
        </w:rPr>
        <w:t xml:space="preserve"> </w:t>
      </w:r>
    </w:p>
    <w:p w:rsidR="0017262A" w:rsidRPr="00DF222A" w:rsidRDefault="0017262A" w:rsidP="0017262A">
      <w:pPr>
        <w:pStyle w:val="BodyText"/>
        <w:widowControl w:val="0"/>
        <w:numPr>
          <w:ilvl w:val="1"/>
          <w:numId w:val="5"/>
        </w:numPr>
        <w:tabs>
          <w:tab w:val="left" w:pos="810"/>
          <w:tab w:val="left" w:pos="900"/>
        </w:tabs>
        <w:spacing w:line="240" w:lineRule="auto"/>
        <w:ind w:left="810" w:right="181" w:hanging="810"/>
        <w:rPr>
          <w:rFonts w:ascii="Arial" w:hAnsi="Arial" w:cs="Arial"/>
          <w:sz w:val="22"/>
          <w:szCs w:val="22"/>
        </w:rPr>
      </w:pPr>
      <w:r w:rsidRPr="00DF222A">
        <w:rPr>
          <w:rFonts w:ascii="Arial" w:hAnsi="Arial" w:cs="Arial"/>
          <w:sz w:val="22"/>
          <w:szCs w:val="22"/>
        </w:rPr>
        <w:t xml:space="preserve">The AMC payment shall be invoiced quarterly in arrears and payments (including GST) shall be released subject to successful execution of work under the AMC </w:t>
      </w:r>
      <w:r w:rsidRPr="00DF222A">
        <w:rPr>
          <w:rFonts w:ascii="Arial" w:hAnsi="Arial" w:cs="Arial"/>
          <w:sz w:val="22"/>
          <w:szCs w:val="22"/>
        </w:rPr>
        <w:lastRenderedPageBreak/>
        <w:t>Agreement (as per Annexure-I of Section-IV).</w:t>
      </w:r>
    </w:p>
    <w:p w:rsidR="0017262A" w:rsidRPr="00DF222A" w:rsidRDefault="0017262A" w:rsidP="0017262A">
      <w:pPr>
        <w:pStyle w:val="BodyText"/>
        <w:widowControl w:val="0"/>
        <w:tabs>
          <w:tab w:val="left" w:pos="900"/>
        </w:tabs>
        <w:spacing w:line="240" w:lineRule="auto"/>
        <w:ind w:left="810" w:right="181"/>
        <w:rPr>
          <w:rFonts w:ascii="Arial" w:hAnsi="Arial" w:cs="Arial"/>
          <w:sz w:val="22"/>
          <w:szCs w:val="22"/>
        </w:rPr>
      </w:pPr>
    </w:p>
    <w:p w:rsidR="0017262A" w:rsidRPr="00DF222A" w:rsidRDefault="0017262A" w:rsidP="0017262A">
      <w:pPr>
        <w:pStyle w:val="BodyText"/>
        <w:widowControl w:val="0"/>
        <w:numPr>
          <w:ilvl w:val="1"/>
          <w:numId w:val="5"/>
        </w:numPr>
        <w:tabs>
          <w:tab w:val="left" w:pos="810"/>
        </w:tabs>
        <w:spacing w:line="240" w:lineRule="auto"/>
        <w:ind w:left="1260" w:right="181" w:hanging="1260"/>
        <w:rPr>
          <w:rFonts w:ascii="Arial" w:hAnsi="Arial" w:cs="Arial"/>
          <w:spacing w:val="-1"/>
          <w:sz w:val="22"/>
          <w:szCs w:val="22"/>
        </w:rPr>
      </w:pPr>
      <w:r w:rsidRPr="00DF222A">
        <w:rPr>
          <w:rFonts w:ascii="Arial" w:hAnsi="Arial" w:cs="Arial"/>
          <w:b/>
          <w:bCs/>
          <w:spacing w:val="-1"/>
          <w:sz w:val="22"/>
          <w:szCs w:val="22"/>
        </w:rPr>
        <w:t>(i)</w:t>
      </w:r>
      <w:r w:rsidRPr="00DF222A">
        <w:rPr>
          <w:rFonts w:ascii="Arial" w:hAnsi="Arial" w:cs="Arial"/>
          <w:b/>
          <w:bCs/>
          <w:spacing w:val="-1"/>
          <w:sz w:val="22"/>
          <w:szCs w:val="22"/>
        </w:rPr>
        <w:tab/>
      </w:r>
      <w:r w:rsidRPr="00DF222A">
        <w:rPr>
          <w:rFonts w:ascii="Arial" w:hAnsi="Arial" w:cs="Arial"/>
          <w:spacing w:val="-1"/>
          <w:sz w:val="22"/>
          <w:szCs w:val="22"/>
        </w:rPr>
        <w:t>Necessary declaration, statutory forms (if any) shall be provided by MTNL to avail concessional rate of tax wherever applicable.</w:t>
      </w:r>
    </w:p>
    <w:p w:rsidR="0017262A" w:rsidRPr="00DF222A" w:rsidRDefault="0017262A" w:rsidP="0017262A">
      <w:pPr>
        <w:pStyle w:val="BodyText"/>
        <w:widowControl w:val="0"/>
        <w:tabs>
          <w:tab w:val="left" w:pos="810"/>
        </w:tabs>
        <w:spacing w:line="240" w:lineRule="auto"/>
        <w:ind w:right="181"/>
        <w:rPr>
          <w:rFonts w:ascii="Arial" w:hAnsi="Arial" w:cs="Arial"/>
          <w:spacing w:val="-1"/>
          <w:sz w:val="22"/>
          <w:szCs w:val="22"/>
        </w:rPr>
      </w:pPr>
    </w:p>
    <w:p w:rsidR="0017262A" w:rsidRPr="00DF222A" w:rsidRDefault="0017262A" w:rsidP="0017262A">
      <w:pPr>
        <w:pStyle w:val="BodyText"/>
        <w:widowControl w:val="0"/>
        <w:numPr>
          <w:ilvl w:val="1"/>
          <w:numId w:val="3"/>
        </w:numPr>
        <w:spacing w:line="276" w:lineRule="auto"/>
        <w:ind w:left="1260" w:right="160" w:hanging="480"/>
        <w:rPr>
          <w:rFonts w:ascii="Arial" w:hAnsi="Arial" w:cs="Arial"/>
          <w:spacing w:val="-1"/>
          <w:sz w:val="22"/>
          <w:szCs w:val="22"/>
        </w:rPr>
      </w:pPr>
      <w:r w:rsidRPr="00DF222A">
        <w:rPr>
          <w:rFonts w:ascii="Arial" w:hAnsi="Arial" w:cs="Arial"/>
          <w:spacing w:val="-1"/>
          <w:sz w:val="22"/>
          <w:szCs w:val="22"/>
        </w:rPr>
        <w:t xml:space="preserve">No payment will be made for goods rejected at the site on testing .For goods rejected at the site on testing the credit note shall be issued by the supplier, failing which the purchaser shall adjust the amount to be recovered by issuing an invoice/debit note for the corresponding amount at the risk and cost to the supplier including applicable </w:t>
      </w:r>
      <w:proofErr w:type="spellStart"/>
      <w:r w:rsidRPr="00DF222A">
        <w:rPr>
          <w:rFonts w:ascii="Arial" w:hAnsi="Arial" w:cs="Arial"/>
          <w:spacing w:val="-1"/>
          <w:sz w:val="22"/>
          <w:szCs w:val="22"/>
        </w:rPr>
        <w:t>GST</w:t>
      </w:r>
      <w:proofErr w:type="gramStart"/>
      <w:r w:rsidRPr="00DF222A">
        <w:rPr>
          <w:rFonts w:ascii="Arial" w:hAnsi="Arial" w:cs="Arial"/>
          <w:spacing w:val="-1"/>
          <w:sz w:val="22"/>
          <w:szCs w:val="22"/>
        </w:rPr>
        <w:t>,if</w:t>
      </w:r>
      <w:proofErr w:type="spellEnd"/>
      <w:proofErr w:type="gramEnd"/>
      <w:r w:rsidRPr="00DF222A">
        <w:rPr>
          <w:rFonts w:ascii="Arial" w:hAnsi="Arial" w:cs="Arial"/>
          <w:spacing w:val="-1"/>
          <w:sz w:val="22"/>
          <w:szCs w:val="22"/>
        </w:rPr>
        <w:t xml:space="preserve"> any.</w:t>
      </w:r>
    </w:p>
    <w:p w:rsidR="005B3A09" w:rsidRPr="00DF222A" w:rsidRDefault="005B3A09" w:rsidP="005B3A09">
      <w:pPr>
        <w:pStyle w:val="BodyText"/>
        <w:widowControl w:val="0"/>
        <w:spacing w:line="276" w:lineRule="auto"/>
        <w:ind w:left="1260" w:right="160"/>
        <w:rPr>
          <w:rFonts w:ascii="Arial" w:hAnsi="Arial" w:cs="Arial"/>
          <w:spacing w:val="-1"/>
          <w:sz w:val="22"/>
          <w:szCs w:val="22"/>
        </w:rPr>
      </w:pPr>
    </w:p>
    <w:p w:rsidR="0017262A" w:rsidRPr="00DF222A" w:rsidRDefault="0017262A" w:rsidP="0017262A">
      <w:pPr>
        <w:pStyle w:val="BodyText"/>
        <w:widowControl w:val="0"/>
        <w:numPr>
          <w:ilvl w:val="1"/>
          <w:numId w:val="3"/>
        </w:numPr>
        <w:spacing w:line="276" w:lineRule="auto"/>
        <w:ind w:left="1260" w:right="160" w:hanging="480"/>
        <w:rPr>
          <w:rFonts w:ascii="Arial" w:hAnsi="Arial" w:cs="Arial"/>
          <w:spacing w:val="-1"/>
          <w:sz w:val="22"/>
          <w:szCs w:val="22"/>
        </w:rPr>
      </w:pPr>
      <w:r w:rsidRPr="00DF222A">
        <w:rPr>
          <w:rFonts w:ascii="Arial" w:hAnsi="Arial" w:cs="Arial"/>
          <w:spacing w:val="-1"/>
          <w:sz w:val="22"/>
          <w:szCs w:val="22"/>
        </w:rPr>
        <w:t xml:space="preserve">Payment of GST/Custom duty shall be released on production of necessary supporting documents i.e. GST/customs invoices etc. If the supplier fails to furnish necessary supporting documents i.e. GST invoice/Customs invoices etc., the amount pertaining to such Duties/Taxes will not be paid. Tax amount will be payable to the supplier only after supplier declares the details of the invoices in its GSTR-1 and GSTR-3 and the same is reflected in GSTR-2A of MTNL on GSTN portal. </w:t>
      </w:r>
    </w:p>
    <w:p w:rsidR="0017262A" w:rsidRPr="00DF222A" w:rsidRDefault="0017262A" w:rsidP="0017262A">
      <w:pPr>
        <w:pStyle w:val="BodyText"/>
        <w:widowControl w:val="0"/>
        <w:spacing w:line="276" w:lineRule="auto"/>
        <w:ind w:left="1260" w:right="160"/>
        <w:rPr>
          <w:rFonts w:ascii="Arial" w:hAnsi="Arial" w:cs="Arial"/>
          <w:spacing w:val="-1"/>
          <w:sz w:val="22"/>
          <w:szCs w:val="22"/>
        </w:rPr>
      </w:pPr>
    </w:p>
    <w:p w:rsidR="0017262A" w:rsidRPr="00DF222A" w:rsidRDefault="0017262A" w:rsidP="0017262A">
      <w:pPr>
        <w:pStyle w:val="BodyText"/>
        <w:widowControl w:val="0"/>
        <w:numPr>
          <w:ilvl w:val="1"/>
          <w:numId w:val="3"/>
        </w:numPr>
        <w:spacing w:line="276" w:lineRule="auto"/>
        <w:ind w:left="1260" w:right="160" w:hanging="480"/>
        <w:rPr>
          <w:rFonts w:ascii="Arial" w:hAnsi="Arial" w:cs="Arial"/>
          <w:spacing w:val="-1"/>
          <w:sz w:val="22"/>
          <w:szCs w:val="22"/>
        </w:rPr>
      </w:pPr>
      <w:r w:rsidRPr="00DF222A">
        <w:rPr>
          <w:rFonts w:ascii="Arial" w:hAnsi="Arial" w:cs="Arial"/>
          <w:spacing w:val="-1"/>
          <w:sz w:val="22"/>
          <w:szCs w:val="22"/>
        </w:rPr>
        <w:t>Wherever domestic reverse charge is applicable on MTNL or in case vendor is un-registered under GST Act, vendor shall not charge tax on invoice. It shall be the liability of MTNL to pay tax under reverse charge mechanism.</w:t>
      </w:r>
    </w:p>
    <w:p w:rsidR="0017262A" w:rsidRPr="00DF222A" w:rsidRDefault="0017262A" w:rsidP="0017262A">
      <w:pPr>
        <w:pStyle w:val="BodyText"/>
        <w:widowControl w:val="0"/>
        <w:spacing w:line="276" w:lineRule="auto"/>
        <w:ind w:right="160"/>
        <w:rPr>
          <w:rFonts w:ascii="Arial" w:hAnsi="Arial" w:cs="Arial"/>
          <w:spacing w:val="-1"/>
          <w:sz w:val="22"/>
          <w:szCs w:val="22"/>
        </w:rPr>
      </w:pPr>
    </w:p>
    <w:p w:rsidR="0017262A" w:rsidRPr="00DF222A" w:rsidRDefault="0017262A" w:rsidP="0017262A">
      <w:pPr>
        <w:pStyle w:val="BodyText"/>
        <w:widowControl w:val="0"/>
        <w:numPr>
          <w:ilvl w:val="1"/>
          <w:numId w:val="3"/>
        </w:numPr>
        <w:spacing w:line="276" w:lineRule="auto"/>
        <w:ind w:left="1260" w:right="160" w:hanging="480"/>
        <w:rPr>
          <w:rFonts w:ascii="Arial" w:hAnsi="Arial" w:cs="Arial"/>
          <w:spacing w:val="-1"/>
          <w:sz w:val="22"/>
          <w:szCs w:val="22"/>
        </w:rPr>
      </w:pPr>
      <w:r w:rsidRPr="00DF222A">
        <w:rPr>
          <w:rFonts w:ascii="Arial" w:hAnsi="Arial" w:cs="Arial"/>
          <w:spacing w:val="-1"/>
          <w:sz w:val="22"/>
          <w:szCs w:val="22"/>
        </w:rPr>
        <w:t xml:space="preserve">No payment of GST shall be made to those bidders, who are either not registered for GST or who are registered under Composition Scheme of GST. </w:t>
      </w:r>
    </w:p>
    <w:p w:rsidR="0017262A" w:rsidRPr="00DF222A" w:rsidRDefault="0017262A" w:rsidP="0017262A">
      <w:pPr>
        <w:pStyle w:val="BodyText"/>
        <w:widowControl w:val="0"/>
        <w:spacing w:line="276" w:lineRule="auto"/>
        <w:ind w:right="160"/>
        <w:rPr>
          <w:rFonts w:ascii="Arial" w:hAnsi="Arial" w:cs="Arial"/>
          <w:spacing w:val="-1"/>
          <w:sz w:val="22"/>
          <w:szCs w:val="22"/>
        </w:rPr>
      </w:pPr>
    </w:p>
    <w:p w:rsidR="0017262A" w:rsidRPr="00DF222A" w:rsidRDefault="0017262A" w:rsidP="0017262A">
      <w:pPr>
        <w:pStyle w:val="BodyText"/>
        <w:widowControl w:val="0"/>
        <w:numPr>
          <w:ilvl w:val="1"/>
          <w:numId w:val="3"/>
        </w:numPr>
        <w:spacing w:line="276" w:lineRule="auto"/>
        <w:ind w:left="1260" w:right="160" w:hanging="480"/>
        <w:rPr>
          <w:rFonts w:ascii="Arial" w:hAnsi="Arial" w:cs="Arial"/>
          <w:spacing w:val="-1"/>
          <w:sz w:val="22"/>
          <w:szCs w:val="22"/>
        </w:rPr>
      </w:pPr>
      <w:r w:rsidRPr="00DF222A">
        <w:rPr>
          <w:rFonts w:ascii="Arial" w:hAnsi="Arial" w:cs="Arial"/>
          <w:spacing w:val="-1"/>
          <w:sz w:val="22"/>
          <w:szCs w:val="22"/>
        </w:rPr>
        <w:t>If status of a bidder who was initially registered on GST under Composition Scheme at the time of submission of financial bid, subsequently his status changes to normal GST registered vendor any time before delivery of Goods (raising invoice against delivery of Goods), under such circumstance, his unit price will be discounted by the applicable Tax rate as applicable under the composition scheme.  In such cases if the vendor furnishes necessary supporting documents regarding GST payment and which is also GST credit eligible amount to MTNL in such cases the GST payment will be reimbursed.</w:t>
      </w:r>
    </w:p>
    <w:p w:rsidR="0017262A" w:rsidRPr="00DF222A" w:rsidRDefault="0017262A" w:rsidP="0017262A">
      <w:pPr>
        <w:pStyle w:val="BodyText"/>
        <w:widowControl w:val="0"/>
        <w:spacing w:line="276" w:lineRule="auto"/>
        <w:ind w:right="160"/>
        <w:rPr>
          <w:rFonts w:ascii="Arial" w:hAnsi="Arial" w:cs="Arial"/>
          <w:spacing w:val="-1"/>
          <w:sz w:val="22"/>
          <w:szCs w:val="22"/>
        </w:rPr>
      </w:pPr>
    </w:p>
    <w:p w:rsidR="0017262A" w:rsidRPr="00DF222A" w:rsidRDefault="0017262A" w:rsidP="0017262A">
      <w:pPr>
        <w:pStyle w:val="BodyText"/>
        <w:widowControl w:val="0"/>
        <w:numPr>
          <w:ilvl w:val="1"/>
          <w:numId w:val="3"/>
        </w:numPr>
        <w:spacing w:line="276" w:lineRule="auto"/>
        <w:ind w:left="1260" w:right="160" w:hanging="480"/>
        <w:rPr>
          <w:rFonts w:ascii="Arial" w:hAnsi="Arial" w:cs="Arial"/>
          <w:spacing w:val="-1"/>
          <w:sz w:val="22"/>
          <w:szCs w:val="22"/>
        </w:rPr>
      </w:pPr>
      <w:r w:rsidRPr="00DF222A">
        <w:rPr>
          <w:rFonts w:ascii="Arial" w:hAnsi="Arial" w:cs="Arial"/>
          <w:spacing w:val="-1"/>
          <w:sz w:val="22"/>
          <w:szCs w:val="22"/>
        </w:rPr>
        <w:t>Entire payment of invoice shall be paid by MTNL only after the credit of the GST portion in the invoice is selected in the GSTN portal i.e. the outward return in GSTR 1 is uploaded by the supplier by 10th of the subsequent month and duly reflected in MTNL account on GSTN portal.</w:t>
      </w:r>
    </w:p>
    <w:p w:rsidR="0017262A" w:rsidRPr="00DF222A" w:rsidRDefault="0017262A" w:rsidP="0017262A">
      <w:pPr>
        <w:pStyle w:val="BodyText"/>
        <w:widowControl w:val="0"/>
        <w:spacing w:line="276" w:lineRule="auto"/>
        <w:ind w:right="160"/>
        <w:rPr>
          <w:rFonts w:ascii="Arial" w:hAnsi="Arial" w:cs="Arial"/>
          <w:spacing w:val="-1"/>
          <w:sz w:val="22"/>
          <w:szCs w:val="22"/>
        </w:rPr>
      </w:pPr>
    </w:p>
    <w:p w:rsidR="0017262A" w:rsidRPr="00DF222A" w:rsidRDefault="0017262A" w:rsidP="0017262A">
      <w:pPr>
        <w:pStyle w:val="BodyText"/>
        <w:widowControl w:val="0"/>
        <w:numPr>
          <w:ilvl w:val="1"/>
          <w:numId w:val="3"/>
        </w:numPr>
        <w:spacing w:line="276" w:lineRule="auto"/>
        <w:ind w:left="1260" w:right="0" w:hanging="480"/>
        <w:rPr>
          <w:rFonts w:ascii="Arial" w:hAnsi="Arial" w:cs="Arial"/>
          <w:spacing w:val="-1"/>
          <w:sz w:val="22"/>
          <w:szCs w:val="22"/>
        </w:rPr>
      </w:pPr>
      <w:r w:rsidRPr="00DF222A">
        <w:rPr>
          <w:rFonts w:ascii="Arial" w:hAnsi="Arial" w:cs="Arial"/>
          <w:spacing w:val="-1"/>
          <w:sz w:val="22"/>
          <w:szCs w:val="22"/>
        </w:rPr>
        <w:t>TDS/ TCS shall be deducted at the prescribed rate, if any (as the case may be)</w:t>
      </w:r>
    </w:p>
    <w:p w:rsidR="0017262A" w:rsidRPr="00DF222A" w:rsidRDefault="0017262A" w:rsidP="0017262A">
      <w:pPr>
        <w:pStyle w:val="BodyText"/>
        <w:widowControl w:val="0"/>
        <w:tabs>
          <w:tab w:val="left" w:pos="1032"/>
        </w:tabs>
        <w:spacing w:line="240" w:lineRule="auto"/>
        <w:ind w:left="1660" w:right="183"/>
        <w:rPr>
          <w:rFonts w:ascii="Arial" w:hAnsi="Arial" w:cs="Arial"/>
          <w:spacing w:val="-1"/>
          <w:sz w:val="22"/>
          <w:szCs w:val="22"/>
        </w:rPr>
      </w:pPr>
    </w:p>
    <w:p w:rsidR="0017262A" w:rsidRPr="00DF222A" w:rsidRDefault="0017262A" w:rsidP="0017262A">
      <w:pPr>
        <w:autoSpaceDE w:val="0"/>
        <w:autoSpaceDN w:val="0"/>
        <w:adjustRightInd w:val="0"/>
        <w:ind w:left="720" w:right="190" w:hanging="720"/>
        <w:jc w:val="both"/>
        <w:rPr>
          <w:rFonts w:ascii="Arial" w:hAnsi="Arial" w:cs="Arial"/>
          <w:spacing w:val="-1"/>
          <w:lang w:val="en-GB"/>
        </w:rPr>
      </w:pPr>
      <w:r w:rsidRPr="00DF222A">
        <w:rPr>
          <w:rFonts w:ascii="Arial" w:hAnsi="Arial" w:cs="Arial"/>
          <w:b/>
          <w:bCs/>
          <w:spacing w:val="-1"/>
          <w:lang w:val="en-GB"/>
        </w:rPr>
        <w:t>11.5</w:t>
      </w:r>
      <w:r w:rsidRPr="00DF222A">
        <w:rPr>
          <w:rFonts w:ascii="Arial" w:hAnsi="Arial" w:cs="Arial"/>
          <w:spacing w:val="-1"/>
          <w:lang w:val="en-GB"/>
        </w:rPr>
        <w:tab/>
        <w:t>For claiming this payment the following documents are to be submitted to the paying authority.</w:t>
      </w:r>
    </w:p>
    <w:p w:rsidR="0017262A" w:rsidRPr="00DF222A" w:rsidRDefault="0017262A" w:rsidP="001062AE">
      <w:pPr>
        <w:pStyle w:val="ListParagraph"/>
        <w:numPr>
          <w:ilvl w:val="0"/>
          <w:numId w:val="4"/>
        </w:numPr>
        <w:autoSpaceDE w:val="0"/>
        <w:autoSpaceDN w:val="0"/>
        <w:adjustRightInd w:val="0"/>
        <w:spacing w:beforeLines="60" w:before="144" w:afterLines="60" w:after="144" w:line="276" w:lineRule="auto"/>
        <w:contextualSpacing/>
        <w:jc w:val="both"/>
        <w:rPr>
          <w:rFonts w:ascii="Arial" w:hAnsi="Arial" w:cs="Arial"/>
          <w:spacing w:val="-1"/>
          <w:sz w:val="22"/>
          <w:szCs w:val="22"/>
          <w:lang w:val="en-GB"/>
        </w:rPr>
      </w:pPr>
      <w:r w:rsidRPr="00DF222A">
        <w:rPr>
          <w:rFonts w:ascii="Arial" w:hAnsi="Arial" w:cs="Arial"/>
          <w:spacing w:val="-1"/>
          <w:sz w:val="22"/>
          <w:szCs w:val="22"/>
          <w:lang w:val="en-GB"/>
        </w:rPr>
        <w:t>Invoice clearly indicating break up Price CIF-destination and GST.</w:t>
      </w:r>
    </w:p>
    <w:p w:rsidR="0017262A" w:rsidRPr="00DF222A" w:rsidRDefault="0017262A" w:rsidP="001062AE">
      <w:pPr>
        <w:pStyle w:val="ListParagraph"/>
        <w:numPr>
          <w:ilvl w:val="0"/>
          <w:numId w:val="4"/>
        </w:numPr>
        <w:autoSpaceDE w:val="0"/>
        <w:autoSpaceDN w:val="0"/>
        <w:adjustRightInd w:val="0"/>
        <w:spacing w:beforeLines="60" w:before="144" w:afterLines="60" w:after="144" w:line="276" w:lineRule="auto"/>
        <w:contextualSpacing/>
        <w:jc w:val="both"/>
        <w:rPr>
          <w:rFonts w:ascii="Arial" w:hAnsi="Arial" w:cs="Arial"/>
          <w:spacing w:val="-1"/>
          <w:sz w:val="22"/>
          <w:szCs w:val="22"/>
          <w:lang w:val="en-GB"/>
        </w:rPr>
      </w:pPr>
      <w:r w:rsidRPr="00DF222A">
        <w:rPr>
          <w:rFonts w:ascii="Arial" w:hAnsi="Arial" w:cs="Arial"/>
          <w:spacing w:val="-1"/>
          <w:sz w:val="22"/>
          <w:szCs w:val="22"/>
          <w:lang w:val="en-GB"/>
        </w:rPr>
        <w:t>Delivery Challan</w:t>
      </w:r>
    </w:p>
    <w:p w:rsidR="0017262A" w:rsidRPr="00DF222A" w:rsidRDefault="0017262A" w:rsidP="001062AE">
      <w:pPr>
        <w:pStyle w:val="ListParagraph"/>
        <w:numPr>
          <w:ilvl w:val="0"/>
          <w:numId w:val="4"/>
        </w:numPr>
        <w:autoSpaceDE w:val="0"/>
        <w:autoSpaceDN w:val="0"/>
        <w:adjustRightInd w:val="0"/>
        <w:spacing w:beforeLines="60" w:before="144" w:afterLines="60" w:after="144" w:line="276" w:lineRule="auto"/>
        <w:contextualSpacing/>
        <w:jc w:val="both"/>
        <w:rPr>
          <w:rFonts w:ascii="Arial" w:hAnsi="Arial" w:cs="Arial"/>
          <w:spacing w:val="-1"/>
          <w:sz w:val="22"/>
          <w:szCs w:val="22"/>
          <w:lang w:val="en-GB"/>
        </w:rPr>
      </w:pPr>
      <w:r w:rsidRPr="00DF222A">
        <w:rPr>
          <w:rFonts w:ascii="Arial" w:hAnsi="Arial" w:cs="Arial"/>
          <w:spacing w:val="-1"/>
          <w:sz w:val="22"/>
          <w:szCs w:val="22"/>
          <w:lang w:val="en-GB"/>
        </w:rPr>
        <w:t>Supplier certificate for dispatch</w:t>
      </w:r>
    </w:p>
    <w:p w:rsidR="0017262A" w:rsidRPr="00DF222A" w:rsidRDefault="0017262A" w:rsidP="001062AE">
      <w:pPr>
        <w:pStyle w:val="ListParagraph"/>
        <w:numPr>
          <w:ilvl w:val="0"/>
          <w:numId w:val="4"/>
        </w:numPr>
        <w:autoSpaceDE w:val="0"/>
        <w:autoSpaceDN w:val="0"/>
        <w:adjustRightInd w:val="0"/>
        <w:spacing w:beforeLines="60" w:before="144" w:afterLines="60" w:after="144" w:line="276" w:lineRule="auto"/>
        <w:contextualSpacing/>
        <w:jc w:val="both"/>
        <w:rPr>
          <w:rFonts w:ascii="Arial" w:hAnsi="Arial" w:cs="Arial"/>
          <w:spacing w:val="-1"/>
          <w:sz w:val="22"/>
          <w:szCs w:val="22"/>
          <w:lang w:val="en-GB"/>
        </w:rPr>
      </w:pPr>
      <w:r w:rsidRPr="00DF222A">
        <w:rPr>
          <w:rFonts w:ascii="Arial" w:hAnsi="Arial" w:cs="Arial"/>
          <w:spacing w:val="-1"/>
          <w:sz w:val="22"/>
          <w:szCs w:val="22"/>
          <w:lang w:val="en-GB"/>
        </w:rPr>
        <w:t>Inspection Certificate of QA (Payable copy in original)</w:t>
      </w:r>
    </w:p>
    <w:p w:rsidR="0017262A" w:rsidRPr="00DF222A" w:rsidRDefault="0017262A" w:rsidP="001062AE">
      <w:pPr>
        <w:pStyle w:val="ListParagraph"/>
        <w:numPr>
          <w:ilvl w:val="0"/>
          <w:numId w:val="4"/>
        </w:numPr>
        <w:autoSpaceDE w:val="0"/>
        <w:autoSpaceDN w:val="0"/>
        <w:adjustRightInd w:val="0"/>
        <w:spacing w:beforeLines="60" w:before="144" w:afterLines="60" w:after="144" w:line="276" w:lineRule="auto"/>
        <w:ind w:right="190"/>
        <w:contextualSpacing/>
        <w:jc w:val="both"/>
        <w:rPr>
          <w:rFonts w:ascii="Arial" w:hAnsi="Arial" w:cs="Arial"/>
          <w:spacing w:val="-1"/>
          <w:sz w:val="22"/>
          <w:szCs w:val="22"/>
          <w:lang w:val="en-GB"/>
        </w:rPr>
      </w:pPr>
      <w:r w:rsidRPr="00DF222A">
        <w:rPr>
          <w:rFonts w:ascii="Arial" w:hAnsi="Arial" w:cs="Arial"/>
          <w:spacing w:val="-1"/>
          <w:sz w:val="22"/>
          <w:szCs w:val="22"/>
          <w:lang w:val="en-GB"/>
        </w:rPr>
        <w:lastRenderedPageBreak/>
        <w:t>The  E-waybill as prescribed in the GST law in case of movement of goods (for both intra-state and inter-state movement)</w:t>
      </w:r>
    </w:p>
    <w:p w:rsidR="0017262A" w:rsidRPr="00DF222A" w:rsidRDefault="0017262A" w:rsidP="001062AE">
      <w:pPr>
        <w:pStyle w:val="ListParagraph"/>
        <w:numPr>
          <w:ilvl w:val="0"/>
          <w:numId w:val="4"/>
        </w:numPr>
        <w:autoSpaceDE w:val="0"/>
        <w:autoSpaceDN w:val="0"/>
        <w:adjustRightInd w:val="0"/>
        <w:spacing w:beforeLines="60" w:before="144" w:afterLines="60" w:after="144" w:line="276" w:lineRule="auto"/>
        <w:contextualSpacing/>
        <w:jc w:val="both"/>
        <w:rPr>
          <w:rFonts w:ascii="Arial" w:hAnsi="Arial" w:cs="Arial"/>
          <w:spacing w:val="-1"/>
          <w:sz w:val="22"/>
          <w:szCs w:val="22"/>
          <w:lang w:val="en-GB"/>
        </w:rPr>
      </w:pPr>
      <w:r w:rsidRPr="00DF222A">
        <w:rPr>
          <w:rFonts w:ascii="Arial" w:hAnsi="Arial" w:cs="Arial"/>
          <w:spacing w:val="-1"/>
          <w:sz w:val="22"/>
          <w:szCs w:val="22"/>
          <w:lang w:val="en-GB"/>
        </w:rPr>
        <w:t>Proof of payment of GST, if applicable.</w:t>
      </w:r>
    </w:p>
    <w:p w:rsidR="0017262A" w:rsidRPr="00DF222A" w:rsidRDefault="0017262A" w:rsidP="001062AE">
      <w:pPr>
        <w:pStyle w:val="ListParagraph"/>
        <w:numPr>
          <w:ilvl w:val="0"/>
          <w:numId w:val="4"/>
        </w:numPr>
        <w:autoSpaceDE w:val="0"/>
        <w:autoSpaceDN w:val="0"/>
        <w:adjustRightInd w:val="0"/>
        <w:spacing w:beforeLines="60" w:before="144" w:afterLines="60" w:after="144" w:line="276" w:lineRule="auto"/>
        <w:contextualSpacing/>
        <w:jc w:val="both"/>
        <w:rPr>
          <w:rFonts w:ascii="Arial" w:hAnsi="Arial" w:cs="Arial"/>
          <w:spacing w:val="-1"/>
          <w:sz w:val="22"/>
          <w:szCs w:val="22"/>
          <w:lang w:val="en-GB"/>
        </w:rPr>
      </w:pPr>
      <w:r w:rsidRPr="00DF222A">
        <w:rPr>
          <w:rFonts w:ascii="Arial" w:hAnsi="Arial" w:cs="Arial"/>
          <w:spacing w:val="-1"/>
          <w:sz w:val="22"/>
          <w:szCs w:val="22"/>
          <w:lang w:val="en-GB"/>
        </w:rPr>
        <w:t>Consignee receipt.</w:t>
      </w:r>
    </w:p>
    <w:p w:rsidR="00A63D00" w:rsidRPr="00DF222A" w:rsidRDefault="00A63D00" w:rsidP="0017262A">
      <w:pPr>
        <w:rPr>
          <w:rFonts w:ascii="Arial" w:hAnsi="Arial" w:cs="Arial"/>
        </w:rPr>
      </w:pPr>
    </w:p>
    <w:p w:rsidR="006805CB" w:rsidRPr="00DF222A" w:rsidRDefault="006805CB">
      <w:pPr>
        <w:rPr>
          <w:rFonts w:ascii="Arial" w:hAnsi="Arial" w:cs="Arial"/>
        </w:rPr>
      </w:pPr>
    </w:p>
    <w:sectPr w:rsidR="006805CB" w:rsidRPr="00DF222A" w:rsidSect="00DF222A">
      <w:footerReference w:type="default" r:id="rId8"/>
      <w:pgSz w:w="11906" w:h="16838"/>
      <w:pgMar w:top="1440" w:right="10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5B" w:rsidRDefault="00253E5B" w:rsidP="00564A3A">
      <w:pPr>
        <w:spacing w:after="0" w:line="240" w:lineRule="auto"/>
      </w:pPr>
      <w:r>
        <w:separator/>
      </w:r>
    </w:p>
  </w:endnote>
  <w:endnote w:type="continuationSeparator" w:id="0">
    <w:p w:rsidR="00253E5B" w:rsidRDefault="00253E5B" w:rsidP="0056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913"/>
      <w:docPartObj>
        <w:docPartGallery w:val="Page Numbers (Bottom of Page)"/>
        <w:docPartUnique/>
      </w:docPartObj>
    </w:sdtPr>
    <w:sdtEndPr/>
    <w:sdtContent>
      <w:sdt>
        <w:sdtPr>
          <w:id w:val="98381352"/>
          <w:docPartObj>
            <w:docPartGallery w:val="Page Numbers (Top of Page)"/>
            <w:docPartUnique/>
          </w:docPartObj>
        </w:sdtPr>
        <w:sdtEndPr/>
        <w:sdtContent>
          <w:p w:rsidR="00564A3A" w:rsidRDefault="00564A3A" w:rsidP="00564A3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F222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F222A">
              <w:rPr>
                <w:b/>
                <w:noProof/>
              </w:rPr>
              <w:t>3</w:t>
            </w:r>
            <w:r>
              <w:rPr>
                <w:b/>
                <w:sz w:val="24"/>
                <w:szCs w:val="24"/>
              </w:rPr>
              <w:fldChar w:fldCharType="end"/>
            </w:r>
          </w:p>
        </w:sdtContent>
      </w:sdt>
    </w:sdtContent>
  </w:sdt>
  <w:p w:rsidR="00564A3A" w:rsidRDefault="00564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5B" w:rsidRDefault="00253E5B" w:rsidP="00564A3A">
      <w:pPr>
        <w:spacing w:after="0" w:line="240" w:lineRule="auto"/>
      </w:pPr>
      <w:r>
        <w:separator/>
      </w:r>
    </w:p>
  </w:footnote>
  <w:footnote w:type="continuationSeparator" w:id="0">
    <w:p w:rsidR="00253E5B" w:rsidRDefault="00253E5B" w:rsidP="00564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64496"/>
    <w:multiLevelType w:val="hybridMultilevel"/>
    <w:tmpl w:val="64A6BBF8"/>
    <w:lvl w:ilvl="0" w:tplc="92F68EF4">
      <w:start w:val="2"/>
      <w:numFmt w:val="lowerLetter"/>
      <w:lvlText w:val="(%1)"/>
      <w:lvlJc w:val="left"/>
      <w:pPr>
        <w:ind w:left="943" w:hanging="284"/>
      </w:pPr>
      <w:rPr>
        <w:rFonts w:ascii="Arial" w:eastAsia="Arial" w:hAnsi="Arial" w:hint="default"/>
        <w:b/>
        <w:bCs/>
        <w:sz w:val="22"/>
        <w:szCs w:val="22"/>
      </w:rPr>
    </w:lvl>
    <w:lvl w:ilvl="1" w:tplc="B1BACC8C">
      <w:start w:val="1"/>
      <w:numFmt w:val="lowerRoman"/>
      <w:lvlText w:val="(%2)"/>
      <w:lvlJc w:val="left"/>
      <w:pPr>
        <w:ind w:left="1560" w:hanging="360"/>
      </w:pPr>
      <w:rPr>
        <w:rFonts w:ascii="Arial" w:eastAsia="Arial" w:hAnsi="Arial" w:hint="default"/>
        <w:b/>
        <w:bCs/>
        <w:sz w:val="22"/>
        <w:szCs w:val="22"/>
      </w:rPr>
    </w:lvl>
    <w:lvl w:ilvl="2" w:tplc="870EA8FE">
      <w:start w:val="1"/>
      <w:numFmt w:val="bullet"/>
      <w:lvlText w:val="•"/>
      <w:lvlJc w:val="left"/>
      <w:pPr>
        <w:ind w:left="2414" w:hanging="360"/>
      </w:pPr>
      <w:rPr>
        <w:rFonts w:hint="default"/>
      </w:rPr>
    </w:lvl>
    <w:lvl w:ilvl="3" w:tplc="CD56F38A">
      <w:start w:val="1"/>
      <w:numFmt w:val="bullet"/>
      <w:lvlText w:val="•"/>
      <w:lvlJc w:val="left"/>
      <w:pPr>
        <w:ind w:left="3268" w:hanging="360"/>
      </w:pPr>
      <w:rPr>
        <w:rFonts w:hint="default"/>
      </w:rPr>
    </w:lvl>
    <w:lvl w:ilvl="4" w:tplc="79FAF6F8">
      <w:start w:val="1"/>
      <w:numFmt w:val="bullet"/>
      <w:lvlText w:val="•"/>
      <w:lvlJc w:val="left"/>
      <w:pPr>
        <w:ind w:left="4122" w:hanging="360"/>
      </w:pPr>
      <w:rPr>
        <w:rFonts w:hint="default"/>
      </w:rPr>
    </w:lvl>
    <w:lvl w:ilvl="5" w:tplc="4F6C7164">
      <w:start w:val="1"/>
      <w:numFmt w:val="bullet"/>
      <w:lvlText w:val="•"/>
      <w:lvlJc w:val="left"/>
      <w:pPr>
        <w:ind w:left="4977" w:hanging="360"/>
      </w:pPr>
      <w:rPr>
        <w:rFonts w:hint="default"/>
      </w:rPr>
    </w:lvl>
    <w:lvl w:ilvl="6" w:tplc="75C0DE4A">
      <w:start w:val="1"/>
      <w:numFmt w:val="bullet"/>
      <w:lvlText w:val="•"/>
      <w:lvlJc w:val="left"/>
      <w:pPr>
        <w:ind w:left="5831" w:hanging="360"/>
      </w:pPr>
      <w:rPr>
        <w:rFonts w:hint="default"/>
      </w:rPr>
    </w:lvl>
    <w:lvl w:ilvl="7" w:tplc="756E97EC">
      <w:start w:val="1"/>
      <w:numFmt w:val="bullet"/>
      <w:lvlText w:val="•"/>
      <w:lvlJc w:val="left"/>
      <w:pPr>
        <w:ind w:left="6685" w:hanging="360"/>
      </w:pPr>
      <w:rPr>
        <w:rFonts w:hint="default"/>
      </w:rPr>
    </w:lvl>
    <w:lvl w:ilvl="8" w:tplc="D0A6317C">
      <w:start w:val="1"/>
      <w:numFmt w:val="bullet"/>
      <w:lvlText w:val="•"/>
      <w:lvlJc w:val="left"/>
      <w:pPr>
        <w:ind w:left="7540" w:hanging="360"/>
      </w:pPr>
      <w:rPr>
        <w:rFonts w:hint="default"/>
      </w:rPr>
    </w:lvl>
  </w:abstractNum>
  <w:abstractNum w:abstractNumId="1">
    <w:nsid w:val="395B078D"/>
    <w:multiLevelType w:val="multilevel"/>
    <w:tmpl w:val="65528520"/>
    <w:lvl w:ilvl="0">
      <w:start w:val="10"/>
      <w:numFmt w:val="decimal"/>
      <w:lvlText w:val="%1."/>
      <w:lvlJc w:val="left"/>
      <w:pPr>
        <w:ind w:left="840" w:hanging="720"/>
      </w:pPr>
      <w:rPr>
        <w:rFonts w:ascii="Arial" w:eastAsia="Arial" w:hAnsi="Arial" w:hint="default"/>
        <w:b/>
        <w:bCs/>
        <w:spacing w:val="-1"/>
        <w:sz w:val="22"/>
        <w:szCs w:val="22"/>
      </w:rPr>
    </w:lvl>
    <w:lvl w:ilvl="1">
      <w:start w:val="1"/>
      <w:numFmt w:val="decimal"/>
      <w:lvlText w:val="%1.%2"/>
      <w:lvlJc w:val="left"/>
      <w:pPr>
        <w:ind w:left="840" w:hanging="721"/>
      </w:pPr>
      <w:rPr>
        <w:rFonts w:ascii="Arial" w:eastAsia="Arial" w:hAnsi="Arial" w:hint="default"/>
        <w:b/>
        <w:bCs/>
        <w:spacing w:val="-1"/>
        <w:sz w:val="22"/>
        <w:szCs w:val="22"/>
      </w:rPr>
    </w:lvl>
    <w:lvl w:ilvl="2">
      <w:start w:val="1"/>
      <w:numFmt w:val="bullet"/>
      <w:lvlText w:val="•"/>
      <w:lvlJc w:val="left"/>
      <w:pPr>
        <w:ind w:left="1774" w:hanging="721"/>
      </w:pPr>
      <w:rPr>
        <w:rFonts w:hint="default"/>
      </w:rPr>
    </w:lvl>
    <w:lvl w:ilvl="3">
      <w:start w:val="1"/>
      <w:numFmt w:val="bullet"/>
      <w:lvlText w:val="•"/>
      <w:lvlJc w:val="left"/>
      <w:pPr>
        <w:ind w:left="2708" w:hanging="721"/>
      </w:pPr>
      <w:rPr>
        <w:rFonts w:hint="default"/>
      </w:rPr>
    </w:lvl>
    <w:lvl w:ilvl="4">
      <w:start w:val="1"/>
      <w:numFmt w:val="bullet"/>
      <w:lvlText w:val="•"/>
      <w:lvlJc w:val="left"/>
      <w:pPr>
        <w:ind w:left="3642" w:hanging="721"/>
      </w:pPr>
      <w:rPr>
        <w:rFonts w:hint="default"/>
      </w:rPr>
    </w:lvl>
    <w:lvl w:ilvl="5">
      <w:start w:val="1"/>
      <w:numFmt w:val="bullet"/>
      <w:lvlText w:val="•"/>
      <w:lvlJc w:val="left"/>
      <w:pPr>
        <w:ind w:left="4577" w:hanging="721"/>
      </w:pPr>
      <w:rPr>
        <w:rFonts w:hint="default"/>
      </w:rPr>
    </w:lvl>
    <w:lvl w:ilvl="6">
      <w:start w:val="1"/>
      <w:numFmt w:val="bullet"/>
      <w:lvlText w:val="•"/>
      <w:lvlJc w:val="left"/>
      <w:pPr>
        <w:ind w:left="5511" w:hanging="721"/>
      </w:pPr>
      <w:rPr>
        <w:rFonts w:hint="default"/>
      </w:rPr>
    </w:lvl>
    <w:lvl w:ilvl="7">
      <w:start w:val="1"/>
      <w:numFmt w:val="bullet"/>
      <w:lvlText w:val="•"/>
      <w:lvlJc w:val="left"/>
      <w:pPr>
        <w:ind w:left="6445" w:hanging="721"/>
      </w:pPr>
      <w:rPr>
        <w:rFonts w:hint="default"/>
      </w:rPr>
    </w:lvl>
    <w:lvl w:ilvl="8">
      <w:start w:val="1"/>
      <w:numFmt w:val="bullet"/>
      <w:lvlText w:val="•"/>
      <w:lvlJc w:val="left"/>
      <w:pPr>
        <w:ind w:left="7380" w:hanging="721"/>
      </w:pPr>
      <w:rPr>
        <w:rFonts w:hint="default"/>
      </w:rPr>
    </w:lvl>
  </w:abstractNum>
  <w:abstractNum w:abstractNumId="2">
    <w:nsid w:val="3A592059"/>
    <w:multiLevelType w:val="multilevel"/>
    <w:tmpl w:val="2BF8159E"/>
    <w:lvl w:ilvl="0">
      <w:start w:val="11"/>
      <w:numFmt w:val="decimal"/>
      <w:lvlText w:val="%1"/>
      <w:lvlJc w:val="left"/>
      <w:pPr>
        <w:ind w:left="420" w:hanging="420"/>
      </w:pPr>
      <w:rPr>
        <w:rFonts w:ascii="Arial" w:hAnsi="Arial" w:cs="Arial" w:hint="default"/>
      </w:rPr>
    </w:lvl>
    <w:lvl w:ilvl="1">
      <w:start w:val="3"/>
      <w:numFmt w:val="decimal"/>
      <w:lvlText w:val="%1.%2"/>
      <w:lvlJc w:val="left"/>
      <w:pPr>
        <w:ind w:left="420" w:hanging="420"/>
      </w:pPr>
      <w:rPr>
        <w:rFonts w:ascii="Arial" w:hAnsi="Arial" w:cs="Arial" w:hint="default"/>
        <w:b/>
        <w:bCs/>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
    <w:nsid w:val="424C226A"/>
    <w:multiLevelType w:val="hybridMultilevel"/>
    <w:tmpl w:val="A5C0251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1649C"/>
    <w:multiLevelType w:val="hybridMultilevel"/>
    <w:tmpl w:val="0C8E27D2"/>
    <w:lvl w:ilvl="0" w:tplc="3F96A81C">
      <w:start w:val="2"/>
      <w:numFmt w:val="lowerRoman"/>
      <w:lvlText w:val="(%1)"/>
      <w:lvlJc w:val="left"/>
      <w:pPr>
        <w:ind w:left="1286" w:hanging="591"/>
      </w:pPr>
      <w:rPr>
        <w:rFonts w:ascii="Times New Roman" w:eastAsia="Times New Roman" w:hAnsi="Times New Roman" w:hint="default"/>
        <w:b/>
        <w:bCs/>
        <w:spacing w:val="-1"/>
        <w:w w:val="102"/>
        <w:sz w:val="22"/>
        <w:szCs w:val="22"/>
      </w:rPr>
    </w:lvl>
    <w:lvl w:ilvl="1" w:tplc="EE5E3264">
      <w:start w:val="2"/>
      <w:numFmt w:val="lowerRoman"/>
      <w:lvlText w:val="(%2)"/>
      <w:lvlJc w:val="left"/>
      <w:pPr>
        <w:ind w:left="1329" w:hanging="533"/>
      </w:pPr>
      <w:rPr>
        <w:rFonts w:ascii="Microsoft Sans Serif" w:eastAsia="Times New Roman" w:hAnsi="Microsoft Sans Serif" w:cs="Microsoft Sans Serif" w:hint="default"/>
        <w:b/>
        <w:bCs/>
        <w:spacing w:val="-1"/>
        <w:w w:val="102"/>
        <w:sz w:val="22"/>
        <w:szCs w:val="22"/>
      </w:rPr>
    </w:lvl>
    <w:lvl w:ilvl="2" w:tplc="41F6F71A">
      <w:start w:val="1"/>
      <w:numFmt w:val="bullet"/>
      <w:lvlText w:val="•"/>
      <w:lvlJc w:val="left"/>
      <w:pPr>
        <w:ind w:left="2270" w:hanging="533"/>
      </w:pPr>
      <w:rPr>
        <w:rFonts w:hint="default"/>
      </w:rPr>
    </w:lvl>
    <w:lvl w:ilvl="3" w:tplc="507AEFF2">
      <w:start w:val="1"/>
      <w:numFmt w:val="bullet"/>
      <w:lvlText w:val="•"/>
      <w:lvlJc w:val="left"/>
      <w:pPr>
        <w:ind w:left="3211" w:hanging="533"/>
      </w:pPr>
      <w:rPr>
        <w:rFonts w:hint="default"/>
      </w:rPr>
    </w:lvl>
    <w:lvl w:ilvl="4" w:tplc="9E5CAD20">
      <w:start w:val="1"/>
      <w:numFmt w:val="bullet"/>
      <w:lvlText w:val="•"/>
      <w:lvlJc w:val="left"/>
      <w:pPr>
        <w:ind w:left="4153" w:hanging="533"/>
      </w:pPr>
      <w:rPr>
        <w:rFonts w:hint="default"/>
      </w:rPr>
    </w:lvl>
    <w:lvl w:ilvl="5" w:tplc="3F843552">
      <w:start w:val="1"/>
      <w:numFmt w:val="bullet"/>
      <w:lvlText w:val="•"/>
      <w:lvlJc w:val="left"/>
      <w:pPr>
        <w:ind w:left="5094" w:hanging="533"/>
      </w:pPr>
      <w:rPr>
        <w:rFonts w:hint="default"/>
      </w:rPr>
    </w:lvl>
    <w:lvl w:ilvl="6" w:tplc="FC760596">
      <w:start w:val="1"/>
      <w:numFmt w:val="bullet"/>
      <w:lvlText w:val="•"/>
      <w:lvlJc w:val="left"/>
      <w:pPr>
        <w:ind w:left="6035" w:hanging="533"/>
      </w:pPr>
      <w:rPr>
        <w:rFonts w:hint="default"/>
      </w:rPr>
    </w:lvl>
    <w:lvl w:ilvl="7" w:tplc="A29A84D6">
      <w:start w:val="1"/>
      <w:numFmt w:val="bullet"/>
      <w:lvlText w:val="•"/>
      <w:lvlJc w:val="left"/>
      <w:pPr>
        <w:ind w:left="6976" w:hanging="533"/>
      </w:pPr>
      <w:rPr>
        <w:rFonts w:hint="default"/>
      </w:rPr>
    </w:lvl>
    <w:lvl w:ilvl="8" w:tplc="6A48A304">
      <w:start w:val="1"/>
      <w:numFmt w:val="bullet"/>
      <w:lvlText w:val="•"/>
      <w:lvlJc w:val="left"/>
      <w:pPr>
        <w:ind w:left="7917" w:hanging="533"/>
      </w:pPr>
      <w:rPr>
        <w:rFonts w:hint="default"/>
      </w:rPr>
    </w:lvl>
  </w:abstractNum>
  <w:abstractNum w:abstractNumId="5">
    <w:nsid w:val="53AA5DA0"/>
    <w:multiLevelType w:val="hybridMultilevel"/>
    <w:tmpl w:val="A51A50E2"/>
    <w:lvl w:ilvl="0" w:tplc="4F1417BA">
      <w:start w:val="1"/>
      <w:numFmt w:val="lowerRoman"/>
      <w:lvlText w:val="(%1)"/>
      <w:lvlJc w:val="left"/>
      <w:pPr>
        <w:ind w:left="1456" w:hanging="677"/>
      </w:pPr>
      <w:rPr>
        <w:rFonts w:ascii="Microsoft Sans Serif" w:eastAsia="Times New Roman" w:hAnsi="Microsoft Sans Serif" w:cs="Microsoft Sans Serif" w:hint="default"/>
        <w:b/>
        <w:bCs/>
        <w:spacing w:val="-1"/>
        <w:w w:val="102"/>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3D00"/>
    <w:rsid w:val="00000667"/>
    <w:rsid w:val="0006480C"/>
    <w:rsid w:val="00096CA6"/>
    <w:rsid w:val="000F5A55"/>
    <w:rsid w:val="001062AE"/>
    <w:rsid w:val="0017262A"/>
    <w:rsid w:val="001E58E7"/>
    <w:rsid w:val="00253E5B"/>
    <w:rsid w:val="0040610F"/>
    <w:rsid w:val="005165F5"/>
    <w:rsid w:val="00526FCE"/>
    <w:rsid w:val="00564A3A"/>
    <w:rsid w:val="005A33AE"/>
    <w:rsid w:val="005B3A09"/>
    <w:rsid w:val="005C6D1F"/>
    <w:rsid w:val="005D3C56"/>
    <w:rsid w:val="0064131D"/>
    <w:rsid w:val="006805CB"/>
    <w:rsid w:val="006C377F"/>
    <w:rsid w:val="00740F18"/>
    <w:rsid w:val="007C42A1"/>
    <w:rsid w:val="007F7FAA"/>
    <w:rsid w:val="009C5317"/>
    <w:rsid w:val="009E5FE9"/>
    <w:rsid w:val="00A63D00"/>
    <w:rsid w:val="00BA7770"/>
    <w:rsid w:val="00C65596"/>
    <w:rsid w:val="00CA4B87"/>
    <w:rsid w:val="00DA1013"/>
    <w:rsid w:val="00DF222A"/>
    <w:rsid w:val="00EB02E8"/>
    <w:rsid w:val="00F86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00"/>
    <w:rPr>
      <w:rFonts w:eastAsiaTheme="minorEastAsia"/>
      <w:lang w:val="en-US" w:bidi="ar-SA"/>
    </w:rPr>
  </w:style>
  <w:style w:type="paragraph" w:styleId="Heading2">
    <w:name w:val="heading 2"/>
    <w:aliases w:val="Sub-heading,h2,style2,Chapter Title,Heading 1.1,2,Section,Header 2,Func Header,Outline2,Major,Head2,Heading 2 Hidden,ASAPHeading 2,PIM2,Subsection,L2,H2,A,A.B.C.,l2,Prophead 2,Alt+2,NV_Überschrift 2 Char"/>
    <w:basedOn w:val="Normal"/>
    <w:next w:val="Normal"/>
    <w:link w:val="Heading2Char"/>
    <w:uiPriority w:val="1"/>
    <w:qFormat/>
    <w:rsid w:val="0017262A"/>
    <w:pPr>
      <w:keepNext/>
      <w:spacing w:after="0" w:line="240" w:lineRule="auto"/>
      <w:outlineLvl w:val="1"/>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ing Char,h2 Char,style2 Char,Chapter Title Char,Heading 1.1 Char,2 Char,Section Char,Header 2 Char,Func Header Char,Outline2 Char,Major Char,Head2 Char,Heading 2 Hidden Char,ASAPHeading 2 Char,PIM2 Char,Subsection Char,L2 Char"/>
    <w:basedOn w:val="DefaultParagraphFont"/>
    <w:link w:val="Heading2"/>
    <w:uiPriority w:val="1"/>
    <w:rsid w:val="0017262A"/>
    <w:rPr>
      <w:rFonts w:ascii="Times New Roman" w:eastAsia="Times New Roman" w:hAnsi="Times New Roman" w:cs="Times New Roman"/>
      <w:sz w:val="24"/>
      <w:szCs w:val="24"/>
      <w:lang w:val="en-GB" w:bidi="ar-SA"/>
    </w:rPr>
  </w:style>
  <w:style w:type="paragraph" w:styleId="ListParagraph">
    <w:name w:val="List Paragraph"/>
    <w:aliases w:val="Paragraph,Resume Title,Citation List,Paragraphe de liste PBLH,Normal bullet 2,Bullet list,Figure_name,Equipment,Numbered Indented Text,List Paragraph1,lp1,List Paragraph11,List Paragraph Char Char Char,List Paragraph Char Char,Bullet 1,b1"/>
    <w:basedOn w:val="Normal"/>
    <w:link w:val="ListParagraphChar"/>
    <w:uiPriority w:val="34"/>
    <w:qFormat/>
    <w:rsid w:val="0017262A"/>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7262A"/>
    <w:pPr>
      <w:spacing w:after="0" w:line="360" w:lineRule="auto"/>
      <w:ind w:right="533"/>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1"/>
    <w:rsid w:val="0017262A"/>
    <w:rPr>
      <w:rFonts w:ascii="Times New Roman" w:eastAsia="Times New Roman" w:hAnsi="Times New Roman" w:cs="Times New Roman"/>
      <w:sz w:val="24"/>
      <w:szCs w:val="24"/>
      <w:lang w:val="en-GB" w:bidi="ar-SA"/>
    </w:rPr>
  </w:style>
  <w:style w:type="character" w:customStyle="1" w:styleId="ListParagraphChar">
    <w:name w:val="List Paragraph Char"/>
    <w:aliases w:val="Paragraph Char,Resume Title Char,Citation List Char,Paragraphe de liste PBLH Char,Normal bullet 2 Char,Bullet list Char,Figure_name Char,Equipment Char,Numbered Indented Text Char,List Paragraph1 Char,lp1 Char,List Paragraph11 Char"/>
    <w:basedOn w:val="DefaultParagraphFont"/>
    <w:link w:val="ListParagraph"/>
    <w:uiPriority w:val="34"/>
    <w:qFormat/>
    <w:rsid w:val="0017262A"/>
    <w:rPr>
      <w:rFonts w:ascii="Times New Roman" w:eastAsia="Times New Roman" w:hAnsi="Times New Roman" w:cs="Times New Roman"/>
      <w:sz w:val="24"/>
      <w:szCs w:val="24"/>
      <w:lang w:val="en-US" w:bidi="ar-SA"/>
    </w:rPr>
  </w:style>
  <w:style w:type="paragraph" w:styleId="Header">
    <w:name w:val="header"/>
    <w:basedOn w:val="Normal"/>
    <w:link w:val="HeaderChar"/>
    <w:uiPriority w:val="99"/>
    <w:semiHidden/>
    <w:unhideWhenUsed/>
    <w:rsid w:val="00564A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4A3A"/>
    <w:rPr>
      <w:rFonts w:eastAsiaTheme="minorEastAsia"/>
      <w:lang w:val="en-US" w:bidi="ar-SA"/>
    </w:rPr>
  </w:style>
  <w:style w:type="paragraph" w:styleId="Footer">
    <w:name w:val="footer"/>
    <w:basedOn w:val="Normal"/>
    <w:link w:val="FooterChar"/>
    <w:uiPriority w:val="99"/>
    <w:unhideWhenUsed/>
    <w:rsid w:val="00564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A3A"/>
    <w:rPr>
      <w:rFonts w:eastAsiaTheme="minorEastAsia"/>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MTNL</dc:creator>
  <cp:lastModifiedBy>SANJAY</cp:lastModifiedBy>
  <cp:revision>25</cp:revision>
  <cp:lastPrinted>2018-01-08T05:15:00Z</cp:lastPrinted>
  <dcterms:created xsi:type="dcterms:W3CDTF">2017-11-24T11:10:00Z</dcterms:created>
  <dcterms:modified xsi:type="dcterms:W3CDTF">2018-01-23T10:53:00Z</dcterms:modified>
</cp:coreProperties>
</file>